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psmdcp" ContentType="application/vnd.openxmlformats-package.core-properties+xml"/>
  <Default Extension="rels" ContentType="application/vnd.openxmlformats-package.relationship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ce86085ad94e01" /><Relationship Type="http://schemas.openxmlformats.org/package/2006/relationships/metadata/core-properties" Target="/package/services/metadata/core-properties/2d5d31b322ad4596ac718ac0c95686f8.psmdcp" Id="Ra582f21298bf4a9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>Индустриални аграрни торове</w:t>
      </w:r>
    </w:p>
    <w:p>
      <w:pPr>
        <w:pStyle w:val="heading1"/>
      </w:pPr>
      <w:bookmarkStart w:name="индустриални_аграрни_торове" w:id="1"/>
      <w:r>
        <w:t>Индустриални аграрни торове</w:t>
      </w:r>
      <w:bookmarkEnd w:id="1"/>
    </w:p>
    <w:p>
      <w:pPr>
        <w:pStyle w:val="heading2"/>
      </w:pPr>
      <w:bookmarkStart w:name="основни_категории" w:id="2"/>
      <w:r>
        <w:t>Основни категории</w:t>
      </w:r>
      <w:bookmarkEnd w:id="2"/>
    </w:p>
    <w:p>
      <w:pPr>
        <w:pStyle w:val="heading3"/>
      </w:pPr>
      <w:bookmarkStart w:name="h_1_органични_торове" w:id="3"/>
      <w:r>
        <w:t>1. Органични торове</w:t>
      </w:r>
      <w:bookmarkEnd w:id="3"/>
    </w:p>
    <w:p>
      <w:r>
        <w:t>Органичните торове произхождат от растителни и животински материали. Те подобряват структурата на почвата, увеличават хумуса и подпомагат дългосрочното плодородие. Примери: оборски тор, компост, биохумус, птичи тор.</w:t>
      </w:r>
    </w:p>
    <w:p>
      <w:pPr>
        <w:pStyle w:val="heading3"/>
      </w:pPr>
      <w:bookmarkStart w:name="h_2_минерални_неорганични_торове" w:id="4"/>
      <w:r>
        <w:t>2. Минерални (неорганични) торове</w:t>
      </w:r>
      <w:bookmarkEnd w:id="4"/>
    </w:p>
    <w:p>
      <w:r>
        <w:t>Минералните торове са химически произведени и съдържат точно определени количества хранителни елементи. Основни групи:</w:t>
      </w:r>
    </w:p>
    <w:p>
      <w:pPr>
        <w:pStyle w:val="ListParagraph"/>
        <w:numPr>
          <w:ilvl w:val="0"/>
          <w:numId w:val="1"/>
        </w:numPr>
      </w:pPr>
      <w:r>
        <w:t>Азотни торове - амониева селитра, карбамид, амониев сулфат.</w:t>
      </w:r>
    </w:p>
    <w:p>
      <w:pPr>
        <w:pStyle w:val="ListParagraph"/>
        <w:numPr>
          <w:ilvl w:val="0"/>
          <w:numId w:val="1"/>
        </w:numPr>
      </w:pPr>
      <w:r>
        <w:t>Фосфорни торове - суперфосфат, MAP, DAP.</w:t>
      </w:r>
    </w:p>
    <w:p>
      <w:pPr>
        <w:pStyle w:val="ListParagraph"/>
        <w:numPr>
          <w:ilvl w:val="0"/>
          <w:numId w:val="1"/>
        </w:numPr>
      </w:pPr>
      <w:r>
        <w:t>Калиеви торове - калиев сулфат, калиева сол.</w:t>
      </w:r>
    </w:p>
    <w:p>
      <w:pPr>
        <w:pStyle w:val="heading3"/>
      </w:pPr>
      <w:bookmarkStart w:name="h_3_комплексни_торове_npk" w:id="5"/>
      <w:r>
        <w:t>3. Комплексни торове (NPK)</w:t>
      </w:r>
      <w:bookmarkEnd w:id="5"/>
    </w:p>
    <w:p>
      <w:r>
        <w:t>Комплексните торове съдържат комбинация от азот, фосфор и калий в различни съотношения (напр. 10-10-10, 15-15-15). Използват се широко при зеленчуци, полски култури и овощни насаждения.</w:t>
      </w:r>
    </w:p>
    <w:p>
      <w:pPr>
        <w:pStyle w:val="heading3"/>
      </w:pPr>
      <w:bookmarkStart w:name="h_4_микроторове" w:id="6"/>
      <w:r>
        <w:t>4. Микроторове</w:t>
      </w:r>
      <w:bookmarkEnd w:id="6"/>
    </w:p>
    <w:p>
      <w:r>
        <w:t>Микроторовете съдържат микроелементи като желязо (Fe), цинк (Zn), бор (B), магнезий (Mg). Прилагат се при доказан недостиг, често листно.</w:t>
      </w:r>
    </w:p>
    <w:p>
      <w:pPr>
        <w:pStyle w:val="heading3"/>
      </w:pPr>
      <w:bookmarkStart w:name="h_5_течни_торове" w:id="7"/>
      <w:r>
        <w:t>5. Течни торове</w:t>
      </w:r>
      <w:bookmarkEnd w:id="7"/>
    </w:p>
    <w:p>
      <w:r>
        <w:t>Течните торове са готови разтвори или концентрати, подходящи за капково напояване, хидропоника и разсадопроизводство.</w:t>
      </w:r>
    </w:p>
    <w:p>
      <w:pPr>
        <w:pStyle w:val="heading3"/>
      </w:pPr>
      <w:bookmarkStart w:name="h_6_био_активни_и_екологични_торове" w:id="8"/>
      <w:r>
        <w:t>6. Био-активни и екологични торове</w:t>
      </w:r>
      <w:bookmarkEnd w:id="8"/>
    </w:p>
    <w:p>
      <w:r>
        <w:t>Тези торове съдържат микориза, полезни бактерии или екстракти от водорасли. Подобряват усвояването на хранителни вещества и устойчивостта към болести. Примери: Алга 900, Амалгерол, Carbohumic.</w:t>
      </w:r>
    </w:p>
    <w:p>
      <w:pPr>
        <w:pStyle w:val="heading2"/>
      </w:pPr>
      <w:bookmarkStart w:name="таблица_основни_индустриални_категории" w:id="9"/>
      <w:r>
        <w:t>Таблица: Основни индустриални категории</w:t>
      </w:r>
      <w:bookmarkEnd w:id="9"/>
    </w:p>
    <w:tbl>
      <w:tblPr>
        <w:tblStyle w:val="TableGrid"/>
        <w:tblW w:w="5000" w:type="pct"/>
      </w:tblPr>
      <w:tr>
        <w:trPr>
          <w:cnfStyle w:firstRow="true"/>
        </w:trPr>
        <w:tc>
          <w:p>
            <w:r>
              <w:t>Категория</w:t>
            </w:r>
          </w:p>
        </w:tc>
        <w:tc>
          <w:p>
            <w:r>
              <w:t>Съдържание</w:t>
            </w:r>
          </w:p>
        </w:tc>
        <w:tc>
          <w:p>
            <w:r>
              <w:t>Приложение</w:t>
            </w:r>
          </w:p>
        </w:tc>
      </w:tr>
      <w:tr>
        <w:tc>
          <w:p>
            <w:r>
              <w:t>Органични</w:t>
            </w:r>
          </w:p>
        </w:tc>
        <w:tc>
          <w:p>
            <w:r>
              <w:t>Хумус, органична материя</w:t>
            </w:r>
          </w:p>
        </w:tc>
        <w:tc>
          <w:p>
            <w:r>
              <w:t>Подобряване на почвата</w:t>
            </w:r>
          </w:p>
        </w:tc>
      </w:tr>
      <w:tr>
        <w:tc>
          <w:p>
            <w:r>
              <w:t>Азотни</w:t>
            </w:r>
          </w:p>
        </w:tc>
        <w:tc>
          <w:p>
            <w:r>
              <w:t>N</w:t>
            </w:r>
          </w:p>
        </w:tc>
        <w:tc>
          <w:p>
            <w:r>
              <w:t>Листна маса, растеж</w:t>
            </w:r>
          </w:p>
        </w:tc>
      </w:tr>
      <w:tr>
        <w:tc>
          <w:p>
            <w:r>
              <w:t>Фосфорни</w:t>
            </w:r>
          </w:p>
        </w:tc>
        <w:tc>
          <w:p>
            <w:r>
              <w:t>P</w:t>
            </w:r>
          </w:p>
        </w:tc>
        <w:tc>
          <w:p>
            <w:r>
              <w:t>Корени, цъфтеж</w:t>
            </w:r>
          </w:p>
        </w:tc>
      </w:tr>
      <w:tr>
        <w:tc>
          <w:p>
            <w:r>
              <w:t>Калиеви</w:t>
            </w:r>
          </w:p>
        </w:tc>
        <w:tc>
          <w:p>
            <w:r>
              <w:t>K</w:t>
            </w:r>
          </w:p>
        </w:tc>
        <w:tc>
          <w:p>
            <w:r>
              <w:t>Устойчивост, качество</w:t>
            </w:r>
          </w:p>
        </w:tc>
      </w:tr>
      <w:tr>
        <w:tc>
          <w:p>
            <w:r>
              <w:t>Комплексни NPK</w:t>
            </w:r>
          </w:p>
        </w:tc>
        <w:tc>
          <w:p>
            <w:r>
              <w:t>N+P+K</w:t>
            </w:r>
          </w:p>
        </w:tc>
        <w:tc>
          <w:p>
            <w:r>
              <w:t>Универсално подхранване</w:t>
            </w:r>
          </w:p>
        </w:tc>
      </w:tr>
      <w:tr>
        <w:tc>
          <w:p>
            <w:r>
              <w:t>Микроторове</w:t>
            </w:r>
          </w:p>
        </w:tc>
        <w:tc>
          <w:p>
            <w:r>
              <w:t>Fe, Zn, B, Mg</w:t>
            </w:r>
          </w:p>
        </w:tc>
        <w:tc>
          <w:p>
            <w:r>
              <w:t>Корекция на дефицити</w:t>
            </w:r>
          </w:p>
        </w:tc>
      </w:tr>
      <w:tr>
        <w:tc>
          <w:p>
            <w:r>
              <w:t>Течни</w:t>
            </w:r>
          </w:p>
        </w:tc>
        <w:tc>
          <w:p>
            <w:r>
              <w:t>Разтвори</w:t>
            </w:r>
          </w:p>
        </w:tc>
        <w:tc>
          <w:p>
            <w:r>
              <w:t>Капково, листно</w:t>
            </w:r>
          </w:p>
        </w:tc>
      </w:tr>
      <w:tr>
        <w:tc>
          <w:p>
            <w:r>
              <w:t>Био-активни</w:t>
            </w:r>
          </w:p>
        </w:tc>
        <w:tc>
          <w:p>
            <w:r>
              <w:t>Микроби, екстракти</w:t>
            </w:r>
          </w:p>
        </w:tc>
        <w:tc>
          <w:p>
            <w:r>
              <w:t>Биологично земеделие</w:t>
            </w:r>
          </w:p>
        </w:tc>
      </w:tr>
    </w:tbl>
    <w:sectPr>
      <w:footerReference xmlns:r="http://schemas.openxmlformats.org/officeDocument/2006/relationships" w:type="default" r:id="footer1"/>
      <w:pgSz w:w="12240" w:h="15840"/>
      <w:pgMar w:top="1440" w:right="1440" w:bottom="1440" w:left="1440" w:header="540" w:footer="540" w:gutter="0"/>
    </w:sectPr>
  </w:body>
</w:document>
</file>

<file path=word/footer1.xml><?xml version="1.0" encoding="utf-8"?>
<w:ftr xmlns:w="http://schemas.openxmlformats.org/wordprocessingml/2006/main">
  <w:p>
    <w:pPr>
      <w:pStyle w:val="Footer"/>
      <w:ind w:left="4000"/>
    </w:pPr>
    <w:r>
      <w:drawing>
        <wp:anchor xmlns:wp="http://schemas.openxmlformats.org/drawingml/2006/wordprocessingDrawing" distT="0" distB="0" distL="114300" distR="11430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46990</wp:posOffset>
          </wp:positionV>
          <wp:extent cx="731520" cy="179705"/>
          <wp:effectExtent l="0" t="0" r="0" b="0"/>
          <wp:wrapSquare wrapText="bothSides"/>
          <wp:docPr id="20250715" name="Copilo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50715" name="Copilot Logo"/>
                  <pic:cNvPicPr/>
                </pic:nvPicPr>
                <pic:blipFill>
                  <a:blip xmlns:r="http://schemas.openxmlformats.org/officeDocument/2006/relationships" r:embed="copilotLogo1">
                    <a:extLst>
                      <a:ext uri="{28A0092B-C50C-407E-A947-70E740481C1C}"/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" cy="1797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</w:rPr>
      <w:t>Copilot may make mistakes</w:t>
    </w:r>
    <w:r>
      <w:ptab w:alignment="right" w:relativeTo="margin" w:leader="none"/>
    </w:r>
    <w:r>
      <w:fldSimple w:instr="PAGE"/>
    </w:r>
  </w:p>
</w:ftr>
</file>

<file path=word/numbering.xml><?xml version="1.0" encoding="utf-8"?>
<w:numbering xmlns:w="http://schemas.openxmlformats.org/wordprocessingml/2006/main">
  <w:abstractNum w:abstractNumId="0">
    <w:multiLevelType w:val="multilevel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</w:abstractNum>
  <w:abstractNum w:abstractNumId="1">
    <w:multiLevelType w:val="multilevel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</w:abstractNum>
  <w:abstractNum w:abstractNumId="2">
    <w:multiLevelType w:val="multilevel"/>
    <w:lvl w:ilvl="0">
      <w:start w:val="1"/>
      <w:numFmt w:val="bullet"/>
      <w:lvlText w:val=""/>
      <w:lvlJc w:val="left"/>
      <w:pPr>
        <w:ind w:left="0"/>
      </w:pPr>
    </w:lvl>
    <w:lvl w:ilvl="1">
      <w:start w:val="1"/>
      <w:numFmt w:val="bullet"/>
      <w:lvlText w:val=""/>
      <w:lvlJc w:val="left"/>
      <w:pPr>
        <w:ind w:left="360"/>
      </w:pPr>
    </w:lvl>
    <w:lvl w:ilvl="2">
      <w:start w:val="1"/>
      <w:numFmt w:val="bullet"/>
      <w:lvlText w:val=""/>
      <w:lvlJc w:val="left"/>
      <w:pPr>
        <w:ind w:left="72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hideGrammaticalErrors/>
  <w:hideSpellingErrors/>
  <w:proofState w:spelling="clean" w:grammar="clean"/>
</w:settings>
</file>

<file path=word/styles.xml><?xml version="1.0" encoding="utf-8"?>
<w:styles xmlns:w="http://schemas.openxmlformats.org/wordprocessingml/2006/main">
  <w:docDefaults>
    <w:rPrDefault>
      <w:rPr>
        <w:sz w:val="24"/>
        <w:rFonts w:ascii="Arial" w:hAnsi="Arial"/>
      </w:rPr>
    </w:rPrDefault>
    <w:pPrDefault>
      <w:pPr>
        <w:spacing w:before="60" w:after="60" w:line="360" w:lineRule="auto"/>
      </w:pPr>
    </w:pPrDefault>
  </w:docDefaults>
  <w:style w:type="paragraph" w:styleId="Normal" w:default="true">
    <w:name w:val="Normal"/>
    <w:qFormat/>
  </w:style>
  <w:style w:type="paragraph" w:styleId="heading1">
    <w:name w:val="Heading 1"/>
    <w:basedOn w:val="Normal"/>
    <w:qFormat/>
    <w:rPr>
      <w:sz w:val="28"/>
      <w:b/>
    </w:rPr>
    <w:pPr>
      <w:spacing w:before="360"/>
    </w:pPr>
  </w:style>
  <w:style w:type="paragraph" w:styleId="heading2">
    <w:name w:val="Heading 2"/>
    <w:basedOn w:val="Normal"/>
    <w:qFormat/>
    <w:rPr>
      <w:sz w:val="24"/>
      <w:b/>
    </w:rPr>
    <w:pPr>
      <w:spacing w:before="360"/>
    </w:pPr>
  </w:style>
  <w:style w:type="paragraph" w:styleId="heading3">
    <w:name w:val="Heading 3"/>
    <w:qFormat/>
    <w:basedOn w:val="Normal"/>
    <w:rPr>
      <w:sz w:val="24"/>
      <w:b/>
    </w:rPr>
    <w:pPr>
      <w:spacing w:before="360"/>
    </w:pPr>
  </w:style>
  <w:style w:type="paragraph" w:styleId="ListParagraph">
    <w:name w:val="List Paragraph"/>
    <w:basedOn w:val="Normal"/>
    <w:qFormat/>
    <w:pPr>
      <w:ind w:left="360"/>
      <w:contextualSpacing/>
    </w:pPr>
  </w:style>
  <w:style w:type="character" w:styleId="Code" w:customStyle="true">
    <w:name w:val="Code"/>
    <w:basedOn w:val="Normal"/>
    <w:qFormat/>
    <w:rPr>
      <w:rFonts w:ascii="Consolas"/>
      <w:shd w:val="clear" w:color="auto" w:fill="E1E2E4"/>
    </w:rPr>
  </w:style>
  <w:style w:type="table" w:styleId="CodeBlock">
    <w:name w:val="Code Block"/>
    <w:qFormat/>
    <w:pPr>
      <w:spacing w:line="240" w:lineRule="auto"/>
    </w:pPr>
    <w:rPr>
      <w:sz w:val="20"/>
      <w:rFonts w:ascii="Consolas"/>
    </w:rPr>
    <w:tblPr>
      <w:jc w:val="left"/>
    </w:tblPr>
    <w:tcPr>
      <w:shd w:val="clear" w:color="auto" w:fill="E1E2E4"/>
      <w:tcMar>
        <w:top w:w="60" w:type="dxa"/>
        <w:left w:w="150" w:type="dxa"/>
        <w:bottom w:w="60" w:type="dxa"/>
        <w:right w:w="150" w:type="dxa"/>
      </w:tcMar>
    </w:tcPr>
  </w:style>
  <w:style w:type="table" w:styleId="TableGrid">
    <w:name w:val="Table Grid"/>
    <w:qFormat/>
    <w:rPr>
      <w:sz w:val="20"/>
    </w:rPr>
    <w:tblPr>
      <w:jc w:val="left"/>
      <w:tblW w:w="0" w:type="auto"/>
      <w:tblBorders>
        <w:top w:val="single" w:color="E8E0DC" w:sz="4" w:space="0"/>
        <w:left w:val="single" w:color="E8E0DC" w:sz="4" w:space="0"/>
        <w:bottom w:val="single" w:color="E8E0DC" w:sz="4" w:space="0"/>
        <w:right w:val="single" w:color="E8E0DC" w:sz="4" w:space="0"/>
        <w:insideH w:val="single" w:color="E8E0DC" w:sz="4" w:space="0"/>
        <w:insideV w:val="single" w:color="E8E0DC" w:sz="4" w:space="0"/>
      </w:tblBorders>
    </w:tblPr>
    <w:tcPr>
      <w:tcMar>
        <w:top w:w="90" w:type="dxa"/>
        <w:left w:w="120" w:type="dxa"/>
        <w:bottom w:w="0" w:type="dxa"/>
        <w:right w:w="120" w:type="dxa"/>
      </w:tcMar>
      <w:vAlign w:val="center"/>
    </w:tcPr>
    <w:tblStylePr w:type="firstRow">
      <w:tcPr>
        <w:shd w:val="clear" w:color="auto" w:fill="F4EFED"/>
      </w:tcPr>
    </w:tblStylePr>
  </w:style>
  <w:style w:type="paragraph" w:styleId="Title">
    <w:name w:val="Title"/>
    <w:basedOn w:val="Normal"/>
    <w:qFormat/>
    <w:rPr>
      <w:sz w:val="32"/>
      <w:b/>
    </w:rPr>
    <w:pPr>
      <w:jc w:val="center"/>
      <w:spacing w:before="240" w:after="240"/>
    </w:pPr>
  </w:style>
  <w:style w:type="character" w:styleId="Hyperlink">
    <w:name w:val="Hyperlink"/>
    <w:rPr>
      <w:color w:val="0563C1"/>
      <w:u w:val="single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/word/footer1.xml" Id="footer1" /><Relationship Type="http://schemas.openxmlformats.org/officeDocument/2006/relationships/numbering" Target="/word/numbering.xml" Id="R595dc63df1954a38" /><Relationship Type="http://schemas.openxmlformats.org/officeDocument/2006/relationships/settings" Target="/word/settings.xml" Id="R8e52a7c1778b4402" /><Relationship Type="http://schemas.openxmlformats.org/officeDocument/2006/relationships/styles" Target="/word/styles.xml" Id="R3e7783ccc1bc4880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copilotLogo1" /></Relationships>
</file>